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utoSpaceDE w:val="0"/>
        <w:autoSpaceDN w:val="0"/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utoSpaceDE w:val="0"/>
        <w:autoSpaceDN w:val="0"/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关于发布中国民族贸易促进会2022年度团体标准项目计划（第二批）的通知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会机关各部门、分支（代表）机构，各会员企业、相关单位：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为助力民族经济和特色产业标准化建设，贯彻落实《中国一乡一品产业促进计划高质量发展三年行动方案（2022-2024年）》有关标准化工作的计划，根据《中国民族贸易促进会团体标准管理办法(试行)》相关要求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国正检验认证有限公司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重庆九方大健康管理有限公司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等机构提出的团体标准制定工作立项申请，经过技术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和研究后决定，我会同意对</w:t>
      </w:r>
      <w:bookmarkStart w:id="0" w:name="_Hlk41984437"/>
      <w:r>
        <w:rPr>
          <w:rFonts w:hint="eastAsia" w:ascii="仿宋_GB2312" w:hAnsi="仿宋_GB2312" w:eastAsia="仿宋_GB2312" w:cs="仿宋_GB2312"/>
          <w:sz w:val="32"/>
          <w:szCs w:val="32"/>
        </w:rPr>
        <w:t>《食用黄粉虫干虫质量通则》、《药食同源产品流通规范》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项团体标准（详见附件）予以立项，请各牵头单位，认真组织执行，深入调查论证，广泛征求意见，保证标准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的质量和水平，确保按时完成标准制定任务。</w:t>
      </w:r>
    </w:p>
    <w:p>
      <w:pPr>
        <w:pStyle w:val="5"/>
        <w:widowControl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附件：2022年度中国民族贸易促进会团体标准项目计划（第二批）</w:t>
      </w:r>
    </w:p>
    <w:p>
      <w:pPr>
        <w:pStyle w:val="5"/>
        <w:widowControl/>
        <w:spacing w:before="0" w:beforeAutospacing="0" w:after="0" w:afterAutospacing="0" w:line="560" w:lineRule="exact"/>
        <w:ind w:left="3990" w:leftChars="1900" w:right="2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中国民族贸易促进会</w:t>
      </w:r>
    </w:p>
    <w:p>
      <w:pPr>
        <w:pStyle w:val="5"/>
        <w:widowControl/>
        <w:spacing w:before="0" w:beforeAutospacing="0" w:after="0" w:afterAutospacing="0" w:line="560" w:lineRule="exact"/>
        <w:ind w:left="3990" w:leftChars="1900" w:right="8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2022年6月2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2022年度中国民族贸易促进会团体标准项目计划（第二批）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3827"/>
        <w:gridCol w:w="269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计划编号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牵头单位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制修订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adjustRightInd w:val="0"/>
              <w:snapToGrid w:val="0"/>
              <w:spacing w:before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T/OTOP-20221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《食用黄粉虫干虫质量通则》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国正检验认证有限公司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adjustRightInd w:val="0"/>
              <w:snapToGrid w:val="0"/>
              <w:spacing w:before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T/OTOP-2022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《药食同源产品流通规范》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重庆九方大健康管理有限公司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adjustRightInd w:val="0"/>
              <w:snapToGrid w:val="0"/>
              <w:spacing w:before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T/OTOP-2022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《食品中辣椒红的测定 高效液相色谱法》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成都英柏检测技术有限公司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  <w:adjustRightInd w:val="0"/>
              <w:snapToGrid w:val="0"/>
              <w:spacing w:before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T/OTOP-2022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《杯茶质量要求及等级评价规程》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中国民贸一乡一品产业促进中心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" w:hAnsi="仿宋" w:eastAsia="仿宋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605155" cy="2838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5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22.35pt;width:47.65pt;mso-position-horizontal:outside;mso-position-horizontal-relative:margin;z-index:251659264;mso-width-relative:page;mso-height-relative:page;" filled="f" stroked="f" coordsize="21600,21600" o:gfxdata="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J4fBtUAAAAFAQAADwAAAAAAAAABACAAAAAiAAAAZHJzL2Rvd25yZXYu&#10;eG1sUEsBAhQAFAAAAAgAh07iQPHo/DA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1828800" cy="2647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20.8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P8jB3XAAAABgEAAA8AAAAAAAAAAQAgAAAAIgAAAGRycy9kb3ducmV2&#10;LnhtbFBLAQIUABQAAAAIAIdO4kB/vngG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="仿宋" w:hAnsi="仿宋" w:eastAsia="仿宋"/>
        <w:color w:val="FF0000"/>
        <w:kern w:val="44"/>
        <w:sz w:val="44"/>
        <w:szCs w:val="44"/>
      </w:rPr>
    </w:pPr>
  </w:p>
  <w:p>
    <w:pPr>
      <w:spacing w:line="580" w:lineRule="exact"/>
      <w:jc w:val="center"/>
      <w:rPr>
        <w:rFonts w:ascii="宋体" w:hAnsi="宋体" w:eastAsia="宋体" w:cs="宋体"/>
        <w:sz w:val="28"/>
        <w:szCs w:val="28"/>
      </w:rPr>
    </w:pPr>
  </w:p>
  <w:p>
    <w:pPr>
      <w:spacing w:line="580" w:lineRule="exact"/>
      <w:jc w:val="center"/>
      <w:rPr>
        <w:rFonts w:ascii="宋体" w:hAnsi="宋体" w:eastAsia="宋体" w:cs="宋体"/>
        <w:sz w:val="28"/>
        <w:szCs w:val="28"/>
      </w:rPr>
    </w:pPr>
  </w:p>
  <w:p>
    <w:pPr>
      <w:spacing w:line="580" w:lineRule="exact"/>
      <w:jc w:val="center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3F"/>
    <w:rsid w:val="00002FCB"/>
    <w:rsid w:val="000B0D12"/>
    <w:rsid w:val="000B342D"/>
    <w:rsid w:val="000B6B15"/>
    <w:rsid w:val="000D0117"/>
    <w:rsid w:val="000D26A8"/>
    <w:rsid w:val="0013548F"/>
    <w:rsid w:val="001949C0"/>
    <w:rsid w:val="001A683C"/>
    <w:rsid w:val="00230C0C"/>
    <w:rsid w:val="00257C3F"/>
    <w:rsid w:val="00336A23"/>
    <w:rsid w:val="00356B1F"/>
    <w:rsid w:val="00360760"/>
    <w:rsid w:val="003D2A89"/>
    <w:rsid w:val="003E2046"/>
    <w:rsid w:val="0049303E"/>
    <w:rsid w:val="00596332"/>
    <w:rsid w:val="00614642"/>
    <w:rsid w:val="0065193B"/>
    <w:rsid w:val="00657E84"/>
    <w:rsid w:val="00667D8F"/>
    <w:rsid w:val="0067143A"/>
    <w:rsid w:val="006B0FBA"/>
    <w:rsid w:val="006F2B45"/>
    <w:rsid w:val="006F3FA3"/>
    <w:rsid w:val="00724A43"/>
    <w:rsid w:val="00727696"/>
    <w:rsid w:val="0073756A"/>
    <w:rsid w:val="00760676"/>
    <w:rsid w:val="007E484E"/>
    <w:rsid w:val="00871EAE"/>
    <w:rsid w:val="008E77D9"/>
    <w:rsid w:val="00937A8A"/>
    <w:rsid w:val="009F1BD8"/>
    <w:rsid w:val="00A1342D"/>
    <w:rsid w:val="00B21EC7"/>
    <w:rsid w:val="00BF5619"/>
    <w:rsid w:val="00C32113"/>
    <w:rsid w:val="00CC674B"/>
    <w:rsid w:val="00D32929"/>
    <w:rsid w:val="00D33A7D"/>
    <w:rsid w:val="00D369A2"/>
    <w:rsid w:val="00DE322D"/>
    <w:rsid w:val="00E20D82"/>
    <w:rsid w:val="00E505BE"/>
    <w:rsid w:val="00EC53F1"/>
    <w:rsid w:val="00EE00D6"/>
    <w:rsid w:val="03594BDE"/>
    <w:rsid w:val="045B160B"/>
    <w:rsid w:val="04C143A1"/>
    <w:rsid w:val="04C209A6"/>
    <w:rsid w:val="04CC11DC"/>
    <w:rsid w:val="06993B36"/>
    <w:rsid w:val="07EF55D7"/>
    <w:rsid w:val="0A2F104D"/>
    <w:rsid w:val="0A3A0223"/>
    <w:rsid w:val="0CF75147"/>
    <w:rsid w:val="0D483ED0"/>
    <w:rsid w:val="0E0B0716"/>
    <w:rsid w:val="0E616898"/>
    <w:rsid w:val="0EAE407B"/>
    <w:rsid w:val="101127AA"/>
    <w:rsid w:val="103C3697"/>
    <w:rsid w:val="10F22DE5"/>
    <w:rsid w:val="12493D4D"/>
    <w:rsid w:val="127A59F7"/>
    <w:rsid w:val="13B914EA"/>
    <w:rsid w:val="14C61D3F"/>
    <w:rsid w:val="14DB263F"/>
    <w:rsid w:val="161A1213"/>
    <w:rsid w:val="177A0B35"/>
    <w:rsid w:val="17854532"/>
    <w:rsid w:val="179C2A7E"/>
    <w:rsid w:val="194B27AB"/>
    <w:rsid w:val="1AA31A32"/>
    <w:rsid w:val="1BBD0DF6"/>
    <w:rsid w:val="1C71662D"/>
    <w:rsid w:val="1CA95509"/>
    <w:rsid w:val="1D541F60"/>
    <w:rsid w:val="1D8354E5"/>
    <w:rsid w:val="1DEE4255"/>
    <w:rsid w:val="1ED13413"/>
    <w:rsid w:val="1F3B4119"/>
    <w:rsid w:val="1FAC5AA8"/>
    <w:rsid w:val="207E2471"/>
    <w:rsid w:val="223611FA"/>
    <w:rsid w:val="230244BF"/>
    <w:rsid w:val="233A152F"/>
    <w:rsid w:val="2524627B"/>
    <w:rsid w:val="25417D7D"/>
    <w:rsid w:val="25807189"/>
    <w:rsid w:val="25883319"/>
    <w:rsid w:val="25C27EF9"/>
    <w:rsid w:val="25E9265D"/>
    <w:rsid w:val="273C3A5C"/>
    <w:rsid w:val="28954367"/>
    <w:rsid w:val="28A947FB"/>
    <w:rsid w:val="28D81470"/>
    <w:rsid w:val="29686288"/>
    <w:rsid w:val="2A920DC2"/>
    <w:rsid w:val="2B421ED2"/>
    <w:rsid w:val="2B56332A"/>
    <w:rsid w:val="2BBB2E75"/>
    <w:rsid w:val="2E3376E4"/>
    <w:rsid w:val="2F0E2E60"/>
    <w:rsid w:val="31302313"/>
    <w:rsid w:val="34F94175"/>
    <w:rsid w:val="353241BD"/>
    <w:rsid w:val="355563A8"/>
    <w:rsid w:val="368E660B"/>
    <w:rsid w:val="36C17704"/>
    <w:rsid w:val="38563AA3"/>
    <w:rsid w:val="397771B5"/>
    <w:rsid w:val="39DD5EB4"/>
    <w:rsid w:val="3C0A6204"/>
    <w:rsid w:val="3CB255F6"/>
    <w:rsid w:val="3D114A88"/>
    <w:rsid w:val="3E11216F"/>
    <w:rsid w:val="3E542B46"/>
    <w:rsid w:val="3F777D51"/>
    <w:rsid w:val="401767B4"/>
    <w:rsid w:val="40BE0BD0"/>
    <w:rsid w:val="411B07D8"/>
    <w:rsid w:val="41282726"/>
    <w:rsid w:val="42593961"/>
    <w:rsid w:val="43016DB0"/>
    <w:rsid w:val="43B14EE5"/>
    <w:rsid w:val="446D07F6"/>
    <w:rsid w:val="4557234B"/>
    <w:rsid w:val="46380555"/>
    <w:rsid w:val="48FE1139"/>
    <w:rsid w:val="496C764D"/>
    <w:rsid w:val="49BE2BC2"/>
    <w:rsid w:val="49C20249"/>
    <w:rsid w:val="4A3C685B"/>
    <w:rsid w:val="4B267508"/>
    <w:rsid w:val="4B781C01"/>
    <w:rsid w:val="4BD019BA"/>
    <w:rsid w:val="4D691D42"/>
    <w:rsid w:val="4DDB155B"/>
    <w:rsid w:val="4E511367"/>
    <w:rsid w:val="4E852B3D"/>
    <w:rsid w:val="4F0200D0"/>
    <w:rsid w:val="4F03065F"/>
    <w:rsid w:val="50231374"/>
    <w:rsid w:val="505101BC"/>
    <w:rsid w:val="50AE36DD"/>
    <w:rsid w:val="50D569C8"/>
    <w:rsid w:val="51E66B29"/>
    <w:rsid w:val="52897770"/>
    <w:rsid w:val="54357B09"/>
    <w:rsid w:val="549A3927"/>
    <w:rsid w:val="54CE67C9"/>
    <w:rsid w:val="56FE1FC5"/>
    <w:rsid w:val="57FE3D69"/>
    <w:rsid w:val="58561115"/>
    <w:rsid w:val="5874677C"/>
    <w:rsid w:val="58CD2AFA"/>
    <w:rsid w:val="590F52F9"/>
    <w:rsid w:val="59203DE5"/>
    <w:rsid w:val="599E23EF"/>
    <w:rsid w:val="59BC1287"/>
    <w:rsid w:val="59D8582D"/>
    <w:rsid w:val="59F87822"/>
    <w:rsid w:val="5A6358EE"/>
    <w:rsid w:val="5BB01FA6"/>
    <w:rsid w:val="5C2129AB"/>
    <w:rsid w:val="5C336B4B"/>
    <w:rsid w:val="5C3F45DB"/>
    <w:rsid w:val="5CDE29D1"/>
    <w:rsid w:val="5D5C5165"/>
    <w:rsid w:val="5E4210CF"/>
    <w:rsid w:val="5E4902A6"/>
    <w:rsid w:val="5E54745B"/>
    <w:rsid w:val="5E6C76E4"/>
    <w:rsid w:val="5F7B056A"/>
    <w:rsid w:val="60FA7929"/>
    <w:rsid w:val="61FB57E6"/>
    <w:rsid w:val="621132F0"/>
    <w:rsid w:val="637F7338"/>
    <w:rsid w:val="65B376B2"/>
    <w:rsid w:val="65C33058"/>
    <w:rsid w:val="65E17E05"/>
    <w:rsid w:val="66D34BF3"/>
    <w:rsid w:val="67632209"/>
    <w:rsid w:val="67FE3C4F"/>
    <w:rsid w:val="68EF00D4"/>
    <w:rsid w:val="699433BE"/>
    <w:rsid w:val="6A4E29ED"/>
    <w:rsid w:val="6B56157F"/>
    <w:rsid w:val="6BD333B1"/>
    <w:rsid w:val="70A57EC3"/>
    <w:rsid w:val="70BF4D69"/>
    <w:rsid w:val="71D06D86"/>
    <w:rsid w:val="7212590D"/>
    <w:rsid w:val="72CE35EF"/>
    <w:rsid w:val="72EA3E20"/>
    <w:rsid w:val="732F5AC0"/>
    <w:rsid w:val="73364A98"/>
    <w:rsid w:val="74641CE0"/>
    <w:rsid w:val="74BB04CB"/>
    <w:rsid w:val="75347DA2"/>
    <w:rsid w:val="7572061F"/>
    <w:rsid w:val="759F65F3"/>
    <w:rsid w:val="765C544E"/>
    <w:rsid w:val="769A193A"/>
    <w:rsid w:val="770F5DC0"/>
    <w:rsid w:val="775103D3"/>
    <w:rsid w:val="77FA5871"/>
    <w:rsid w:val="78C2558D"/>
    <w:rsid w:val="79A2388A"/>
    <w:rsid w:val="7B343196"/>
    <w:rsid w:val="7B9F5623"/>
    <w:rsid w:val="7D1B15EC"/>
    <w:rsid w:val="7D4A0DCF"/>
    <w:rsid w:val="7D6D4D89"/>
    <w:rsid w:val="7DCA583A"/>
    <w:rsid w:val="7F8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14">
    <w:name w:val="NormalCharacter"/>
    <w:qFormat/>
    <w:uiPriority w:val="0"/>
  </w:style>
  <w:style w:type="paragraph" w:customStyle="1" w:styleId="15">
    <w:name w:val="Table Paragraph"/>
    <w:basedOn w:val="1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CEACA-BB39-429D-B2AB-C2DA7161E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33</TotalTime>
  <ScaleCrop>false</ScaleCrop>
  <LinksUpToDate>false</LinksUpToDate>
  <CharactersWithSpaces>629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2022-04-24T07:14:00Z</dcterms:created>
  <dc:creator>文 刘</dc:creator>
  <cp:lastModifiedBy>厚德载物</cp:lastModifiedBy>
  <cp:lastPrinted>2020-04-08T03:39:00Z</cp:lastPrinted>
  <dcterms:modified xsi:type="dcterms:W3CDTF">2022-06-22T07:12:53Z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